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«ВГСЧ»28 ноября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28ноября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Было рассмотрено девять вопросов по фактамосуществления трудовой деятельности работников, находящихся вблизком родстве.</w:t>
            </w:r>
            <w:br/>
            <w:br/>
            <w:r>
              <w:rPr/>
              <w:t xml:space="preserve">Комиссией были выданы рекомендации по предотвращению возникновенияконфликта интересов на период временного замещения определенныхдолжностей.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2026-01-11T08:01:49+03:00</dcterms:created>
  <dcterms:modified xsi:type="dcterms:W3CDTF">2026-01-11T08:01:49+03:00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