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деятельностьюорганизации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Документыи 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Материально-техническое обеспечение и оснащенность образовательногопроцесса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Международноесотрудничество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Платные образовательные услуги и финансово-хозяйственнаядеятельность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Руководство и педагогический состав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D5E5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osnovnye-svedeniya" TargetMode="External"/><Relationship Id="rId8" Type="http://schemas.openxmlformats.org/officeDocument/2006/relationships/hyperlink" Target="/deyatelnost/ob-uchebnyh-centrah/struktura-i-organy-upravleniya-obrazovatelnoy-deyatelnostyu-organizacii" TargetMode="External"/><Relationship Id="rId9" Type="http://schemas.openxmlformats.org/officeDocument/2006/relationships/hyperlink" Target="/deyatelnost/ob-uchebnyh-centrah/obrazovanie" TargetMode="External"/><Relationship Id="rId10" Type="http://schemas.openxmlformats.org/officeDocument/2006/relationships/hyperlink" Target="/deyatelnost/ob-uchebnyh-centrah/dokumenty" TargetMode="External"/><Relationship Id="rId11" Type="http://schemas.openxmlformats.org/officeDocument/2006/relationships/hyperlink" Target="/deyatelnost/ob-uchebnyh-centrah/materialno-tehnicheskoe-obespechenie-i-osnashchennost-obrazovatelnogo-processa" TargetMode="External"/><Relationship Id="rId12" Type="http://schemas.openxmlformats.org/officeDocument/2006/relationships/hyperlink" Target="/deyatelnost/ob-uchebnyh-centrah/mezhdunarodnoe-sotrudnichestvo" TargetMode="External"/><Relationship Id="rId13" Type="http://schemas.openxmlformats.org/officeDocument/2006/relationships/hyperlink" Target="/deyatelnost/ob-uchebnyh-centrah/platnye-obrazovatelnye-uslugi-i-finansovo-hozyaystvennaya-deyatelnost" TargetMode="External"/><Relationship Id="rId14" Type="http://schemas.openxmlformats.org/officeDocument/2006/relationships/hyperlink" Target="/deyatelnost/ob-uchebnyh-centrah/rukovodstvo-i-pedagogicheskiy-so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