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Пасхальное богослужение и крестный ход в 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Пасхальное богослужение и крестный ход в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Работникифилиала «Норильский ВГСО» ФГУП «ВГСЧ» в ночь с 4 на 5 мая 2024 годаприняли участие в Пасхальном богослужении в Храме святойВеликомученицы Варвары города Норильска, а также под пение стихиры«Воскресение Твое, Христе Спасе» совершили крестный ход вокругхрама во главе шествия. Иеромонах Герман (Мельников) доверилгорноспасателям пронести Запрестольные крест и икону, фонарь ихоругви.</w:t>
            </w:r>
            <w:br/>
            <w:br/>
            <w:r>
              <w:rPr/>
              <w:t xml:space="preserve">Во многих странах мира Святая Варвара почитается какпокровительница и защитница трудящихся под землёй — шахтёров игорноспасателей, её почитают христиане всего мира: православные,католики, и некоторые протестанты.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2026-07-06T13:16:02+03:00</dcterms:created>
  <dcterms:modified xsi:type="dcterms:W3CDTF">2026-07-06T13:16:02+03:00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