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Спартакиады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Спартакиады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Сегодняподведены итоги Спартакиады среди учреждений, предприятий иорганизаций муниципального образования «Город Березники» в 2023году.</w:t>
            </w:r>
            <w:br/>
            <w:br/>
            <w:r>
              <w:rPr/>
              <w:t xml:space="preserve">Филиал «ВГСО Урала» ФГУП «ВГСЧ» занял первое место в Спартакиаде вовторой группе (смешанные команды малочисленных предприятий,учреждений, организаций, частных фирм численностью менее 2000человек).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2026-06-21T15:06:20+03:00</dcterms:created>
  <dcterms:modified xsi:type="dcterms:W3CDTF">2026-06-21T15:06:20+03:00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